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18" w:rsidRDefault="00C85046" w:rsidP="00236818"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0</wp:posOffset>
            </wp:positionV>
            <wp:extent cx="107061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39" y="21073"/>
                <wp:lineTo x="211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67.5pt;margin-top:-26.25pt;width:398.6pt;height:158.25pt;z-index:251659264;mso-position-horizontal-relative:text;mso-position-vertical-relative:text" adj="-3509,7637">
            <v:textbox style="mso-next-textbox:#_x0000_s1036">
              <w:txbxContent>
                <w:p w:rsidR="00AD1A71" w:rsidRPr="00163F87" w:rsidRDefault="00AD1A71">
                  <w:proofErr w:type="spellStart"/>
                  <w:r w:rsidRPr="00163F87">
                    <w:t>OfSTED</w:t>
                  </w:r>
                  <w:proofErr w:type="spellEnd"/>
                  <w:r w:rsidRPr="00163F87">
                    <w:t xml:space="preserve">, as we would expect has identified areas for us to develop. Senior staff will be developing our Strategic School Development &amp; Inclusion Plan that will run for the next five terms. The plan will focus on the areas identified by </w:t>
                  </w:r>
                  <w:proofErr w:type="spellStart"/>
                  <w:r w:rsidRPr="00163F87">
                    <w:t>OfSTED</w:t>
                  </w:r>
                  <w:proofErr w:type="spellEnd"/>
                  <w:r w:rsidRPr="00163F87">
                    <w:t>. We will keep you informed of our progress. As always if you have any suggestions</w:t>
                  </w:r>
                  <w:r w:rsidR="002D73A7">
                    <w:t>,</w:t>
                  </w:r>
                  <w:r w:rsidRPr="00163F87">
                    <w:t xml:space="preserve"> please don’t hesitate to contact Mrs Greensides:</w:t>
                  </w:r>
                  <w:r w:rsidR="00817647" w:rsidRPr="00163F87">
                    <w:t xml:space="preserve">  </w:t>
                  </w:r>
                  <w:r w:rsidRPr="00163F87">
                    <w:rPr>
                      <w:b/>
                    </w:rPr>
                    <w:t>head@manorpark.cheshire.sch.uk</w:t>
                  </w:r>
                </w:p>
              </w:txbxContent>
            </v:textbox>
          </v:shape>
        </w:pict>
      </w:r>
    </w:p>
    <w:p w:rsidR="00AE761B" w:rsidRDefault="00AE761B" w:rsidP="00236818">
      <w:pPr>
        <w:rPr>
          <w:b/>
        </w:rPr>
      </w:pPr>
    </w:p>
    <w:p w:rsidR="00AE761B" w:rsidRPr="00AE761B" w:rsidRDefault="00AE761B" w:rsidP="00AE761B"/>
    <w:p w:rsidR="00AE761B" w:rsidRPr="00817647" w:rsidRDefault="00AE761B" w:rsidP="00AE761B">
      <w:pPr>
        <w:rPr>
          <w:b/>
        </w:rPr>
      </w:pPr>
      <w:bookmarkStart w:id="0" w:name="_GoBack"/>
      <w:bookmarkEnd w:id="0"/>
    </w:p>
    <w:p w:rsidR="00AE761B" w:rsidRPr="00AE761B" w:rsidRDefault="00AE761B" w:rsidP="00AE761B"/>
    <w:p w:rsidR="00AE761B" w:rsidRDefault="00AE761B" w:rsidP="00AE761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D1A71" w:rsidTr="00163F87">
        <w:tc>
          <w:tcPr>
            <w:tcW w:w="3686" w:type="dxa"/>
          </w:tcPr>
          <w:p w:rsidR="00AD1A71" w:rsidRPr="00817647" w:rsidRDefault="00AD1A71" w:rsidP="00817647">
            <w:pPr>
              <w:tabs>
                <w:tab w:val="left" w:pos="2355"/>
              </w:tabs>
              <w:rPr>
                <w:b/>
              </w:rPr>
            </w:pPr>
            <w:r w:rsidRPr="00817647">
              <w:rPr>
                <w:b/>
              </w:rPr>
              <w:t>Area for Development</w:t>
            </w:r>
          </w:p>
        </w:tc>
        <w:tc>
          <w:tcPr>
            <w:tcW w:w="6520" w:type="dxa"/>
          </w:tcPr>
          <w:p w:rsidR="00AD1A71" w:rsidRPr="00817647" w:rsidRDefault="002839FF" w:rsidP="00AD1A71">
            <w:pPr>
              <w:tabs>
                <w:tab w:val="left" w:pos="2355"/>
              </w:tabs>
              <w:rPr>
                <w:b/>
              </w:rPr>
            </w:pPr>
            <w:r w:rsidRPr="00817647">
              <w:rPr>
                <w:b/>
              </w:rPr>
              <w:t>What we are already doing in this area</w:t>
            </w:r>
            <w:r w:rsidR="00AD1A71" w:rsidRPr="00817647">
              <w:rPr>
                <w:b/>
              </w:rPr>
              <w:t>?</w:t>
            </w:r>
          </w:p>
        </w:tc>
      </w:tr>
      <w:tr w:rsidR="00AD1A71" w:rsidTr="00163F87">
        <w:tc>
          <w:tcPr>
            <w:tcW w:w="3686" w:type="dxa"/>
          </w:tcPr>
          <w:p w:rsidR="00AD1A71" w:rsidRDefault="00AD1A71" w:rsidP="00AD1A71">
            <w:pPr>
              <w:tabs>
                <w:tab w:val="left" w:pos="2355"/>
              </w:tabs>
            </w:pPr>
            <w:r>
              <w:t>Improve teaching and learning to outstanding and so further raise achievement, by:</w:t>
            </w:r>
          </w:p>
          <w:p w:rsidR="00AD1A71" w:rsidRDefault="00AD1A71" w:rsidP="00AD1A71">
            <w:pPr>
              <w:pStyle w:val="ListParagraph"/>
              <w:numPr>
                <w:ilvl w:val="0"/>
                <w:numId w:val="1"/>
              </w:numPr>
              <w:tabs>
                <w:tab w:val="left" w:pos="2355"/>
              </w:tabs>
            </w:pPr>
            <w:r>
              <w:t>Developing pupils’ speaking &amp; listening skills so that they can explain their learning more fully and benefit from the contributions of adults and other pupils in lessons</w:t>
            </w:r>
          </w:p>
          <w:p w:rsidR="00AD1A71" w:rsidRDefault="00AD1A71" w:rsidP="00AD1A71">
            <w:pPr>
              <w:pStyle w:val="ListParagraph"/>
              <w:numPr>
                <w:ilvl w:val="0"/>
                <w:numId w:val="1"/>
              </w:numPr>
              <w:tabs>
                <w:tab w:val="left" w:pos="2355"/>
              </w:tabs>
            </w:pPr>
            <w:r>
              <w:t>Ensure that all teachers more frequently check the ongoing progress of pupils in lessons and adapt teaching as necessary to pupils’ changing learning needs</w:t>
            </w:r>
          </w:p>
          <w:p w:rsidR="00AD1A71" w:rsidRDefault="002839FF" w:rsidP="00AD1A71">
            <w:pPr>
              <w:pStyle w:val="ListParagraph"/>
              <w:numPr>
                <w:ilvl w:val="0"/>
                <w:numId w:val="1"/>
              </w:numPr>
              <w:tabs>
                <w:tab w:val="left" w:pos="2355"/>
              </w:tabs>
            </w:pPr>
            <w:r>
              <w:t>Ensure that the good practice in marking and feedback on learning seen in many cases is extended across all classes and subjects in the school.</w:t>
            </w:r>
          </w:p>
        </w:tc>
        <w:tc>
          <w:tcPr>
            <w:tcW w:w="6520" w:type="dxa"/>
          </w:tcPr>
          <w:p w:rsidR="00AD1A71" w:rsidRPr="00163F87" w:rsidRDefault="00C137F1" w:rsidP="00AD1A71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Speaking &amp; Listening: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In all classes children take part in paired or group work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Children listen to each other &amp; share ideas for work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Drama &amp; Philosophy for Children ar</w:t>
            </w:r>
            <w:r w:rsidR="004951EE">
              <w:rPr>
                <w:sz w:val="20"/>
                <w:szCs w:val="20"/>
              </w:rPr>
              <w:t>e used at times during the year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Next Steps: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Extend opportunities for  speaking &amp; listening in each lesson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Utilise the new curriculum by adding speaking &amp; listening to the medium term planning as an area in its own right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Extend the use of Philosophy for Children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Monitor Progress during each lesson:</w:t>
            </w:r>
          </w:p>
          <w:p w:rsidR="00C137F1" w:rsidRPr="00163F87" w:rsidRDefault="00C137F1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In all classes children have review time appropriate to their age</w:t>
            </w:r>
            <w:r w:rsidR="00817647" w:rsidRPr="00163F87">
              <w:rPr>
                <w:sz w:val="20"/>
                <w:szCs w:val="20"/>
              </w:rPr>
              <w:t xml:space="preserve">. The children have ‘points for </w:t>
            </w:r>
            <w:proofErr w:type="gramStart"/>
            <w:r w:rsidR="00817647" w:rsidRPr="00163F87">
              <w:rPr>
                <w:sz w:val="20"/>
                <w:szCs w:val="20"/>
              </w:rPr>
              <w:t>progress’</w:t>
            </w:r>
            <w:proofErr w:type="gramEnd"/>
            <w:r w:rsidR="00817647" w:rsidRPr="00163F87">
              <w:rPr>
                <w:sz w:val="20"/>
                <w:szCs w:val="20"/>
              </w:rPr>
              <w:t xml:space="preserve"> that they decide upon with their teacher each week and in KS2 they take part in a weekly review of learning lesson. All classes use ‘learning checks’ each lesson to monitor progress.  Recently 1:1 review time has been introduced between the teacher and the children.</w:t>
            </w:r>
          </w:p>
          <w:p w:rsidR="00817647" w:rsidRPr="00163F87" w:rsidRDefault="00817647" w:rsidP="00AD1A71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Next Steps:</w:t>
            </w:r>
          </w:p>
          <w:p w:rsidR="00817647" w:rsidRPr="00163F87" w:rsidRDefault="00817647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To ensure these are fully embedded across each class</w:t>
            </w:r>
          </w:p>
          <w:p w:rsidR="00817647" w:rsidRPr="00163F87" w:rsidRDefault="00817647" w:rsidP="00AD1A71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Marking &amp; Feedback:</w:t>
            </w:r>
          </w:p>
          <w:p w:rsidR="00817647" w:rsidRPr="00163F87" w:rsidRDefault="00817647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School has a detailed Marking Policy that is used across school that identifies next steps in learning. Children also use success criteria at KS1 &amp; KS2 to support their learning. Feedback to children takes place during review lessons and through marking and discussion during lessons including the plenary part of each lesson.</w:t>
            </w:r>
            <w:r w:rsidR="00163F87" w:rsidRPr="00163F87">
              <w:rPr>
                <w:sz w:val="20"/>
                <w:szCs w:val="20"/>
              </w:rPr>
              <w:t xml:space="preserve"> Children feedback on their learning against the learning objective at the end of each lesson.</w:t>
            </w:r>
          </w:p>
          <w:p w:rsidR="00817647" w:rsidRPr="00163F87" w:rsidRDefault="00817647" w:rsidP="00AD1A71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Next Steps:</w:t>
            </w:r>
          </w:p>
          <w:p w:rsidR="00163F87" w:rsidRPr="00163F87" w:rsidRDefault="00163F87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To ensure these are fully embedded across each class</w:t>
            </w:r>
          </w:p>
          <w:p w:rsidR="00163F87" w:rsidRPr="00163F87" w:rsidRDefault="00163F87" w:rsidP="004951EE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 xml:space="preserve">To </w:t>
            </w:r>
            <w:r w:rsidR="004951EE">
              <w:rPr>
                <w:sz w:val="20"/>
                <w:szCs w:val="20"/>
              </w:rPr>
              <w:t>further develop focussed marking to accelerate learning</w:t>
            </w:r>
          </w:p>
        </w:tc>
      </w:tr>
      <w:tr w:rsidR="00AD1A71" w:rsidTr="00163F87">
        <w:tc>
          <w:tcPr>
            <w:tcW w:w="3686" w:type="dxa"/>
          </w:tcPr>
          <w:p w:rsidR="00AD1A71" w:rsidRDefault="002839FF" w:rsidP="00AD1A71">
            <w:pPr>
              <w:tabs>
                <w:tab w:val="left" w:pos="2355"/>
              </w:tabs>
            </w:pPr>
            <w:r>
              <w:t>Improve leadership and management by:</w:t>
            </w:r>
          </w:p>
          <w:p w:rsidR="002839FF" w:rsidRDefault="002839FF" w:rsidP="002839FF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</w:pPr>
            <w:r>
              <w:t>Developing the role of middle leaders more fully in the direct observation of teaching in their areas of responsibility.</w:t>
            </w:r>
          </w:p>
        </w:tc>
        <w:tc>
          <w:tcPr>
            <w:tcW w:w="6520" w:type="dxa"/>
          </w:tcPr>
          <w:p w:rsidR="00AD1A71" w:rsidRPr="00163F87" w:rsidRDefault="00163F87" w:rsidP="00AD1A71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Staff monitor their subject areas though:</w:t>
            </w:r>
          </w:p>
          <w:p w:rsidR="00163F87" w:rsidRP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Moderation of work</w:t>
            </w:r>
            <w:r w:rsidR="004951EE">
              <w:rPr>
                <w:sz w:val="20"/>
                <w:szCs w:val="20"/>
              </w:rPr>
              <w:t xml:space="preserve"> (agreeing levels children are working at)</w:t>
            </w:r>
          </w:p>
          <w:p w:rsidR="00163F87" w:rsidRP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Book scrutiny</w:t>
            </w:r>
          </w:p>
          <w:p w:rsidR="00163F87" w:rsidRP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Pupil interviews</w:t>
            </w:r>
          </w:p>
          <w:p w:rsidR="00163F87" w:rsidRP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 xml:space="preserve">Staff surveys </w:t>
            </w:r>
          </w:p>
          <w:p w:rsidR="00163F87" w:rsidRP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Planning support</w:t>
            </w:r>
          </w:p>
          <w:p w:rsid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>Data Analysis</w:t>
            </w:r>
          </w:p>
          <w:p w:rsidR="00163F87" w:rsidRDefault="00163F87" w:rsidP="00163F87">
            <w:pPr>
              <w:pStyle w:val="ListParagraph"/>
              <w:numPr>
                <w:ilvl w:val="0"/>
                <w:numId w:val="2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Observation – one area per year</w:t>
            </w:r>
          </w:p>
          <w:p w:rsidR="00163F87" w:rsidRDefault="00163F87" w:rsidP="00163F87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  <w:r w:rsidRPr="00163F87">
              <w:rPr>
                <w:b/>
                <w:sz w:val="20"/>
                <w:szCs w:val="20"/>
              </w:rPr>
              <w:t>Next Steps:</w:t>
            </w:r>
          </w:p>
          <w:p w:rsidR="00163F87" w:rsidRPr="00163F87" w:rsidRDefault="00163F87" w:rsidP="00163F87">
            <w:pPr>
              <w:pStyle w:val="ListParagraph"/>
              <w:numPr>
                <w:ilvl w:val="0"/>
                <w:numId w:val="3"/>
              </w:numPr>
              <w:tabs>
                <w:tab w:val="left" w:pos="2355"/>
              </w:tabs>
              <w:rPr>
                <w:sz w:val="20"/>
                <w:szCs w:val="20"/>
              </w:rPr>
            </w:pPr>
            <w:r w:rsidRPr="00163F87">
              <w:rPr>
                <w:sz w:val="20"/>
                <w:szCs w:val="20"/>
              </w:rPr>
              <w:t xml:space="preserve">Develop a monitoring cycle to allow middle leaders to take part </w:t>
            </w:r>
            <w:r w:rsidR="004951EE" w:rsidRPr="00163F87">
              <w:rPr>
                <w:sz w:val="20"/>
                <w:szCs w:val="20"/>
              </w:rPr>
              <w:t>in observation</w:t>
            </w:r>
            <w:r w:rsidRPr="00163F87">
              <w:rPr>
                <w:sz w:val="20"/>
                <w:szCs w:val="20"/>
              </w:rPr>
              <w:t xml:space="preserve"> across the school in their subject area.</w:t>
            </w:r>
          </w:p>
        </w:tc>
      </w:tr>
    </w:tbl>
    <w:p w:rsidR="00236818" w:rsidRDefault="00236818" w:rsidP="00AD1A71">
      <w:pPr>
        <w:tabs>
          <w:tab w:val="left" w:pos="2355"/>
        </w:tabs>
      </w:pPr>
    </w:p>
    <w:p w:rsidR="002839FF" w:rsidRPr="00AD1A71" w:rsidRDefault="002839FF" w:rsidP="00AD1A71">
      <w:pPr>
        <w:tabs>
          <w:tab w:val="left" w:pos="2355"/>
        </w:tabs>
      </w:pPr>
    </w:p>
    <w:sectPr w:rsidR="002839FF" w:rsidRPr="00AD1A71" w:rsidSect="00163F87">
      <w:head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18" w:rsidRDefault="00236818" w:rsidP="00236818">
      <w:pPr>
        <w:spacing w:after="0" w:line="240" w:lineRule="auto"/>
      </w:pPr>
      <w:r>
        <w:separator/>
      </w:r>
    </w:p>
  </w:endnote>
  <w:endnote w:type="continuationSeparator" w:id="0">
    <w:p w:rsidR="00236818" w:rsidRDefault="00236818" w:rsidP="002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18" w:rsidRDefault="00236818" w:rsidP="00236818">
      <w:pPr>
        <w:spacing w:after="0" w:line="240" w:lineRule="auto"/>
      </w:pPr>
      <w:r>
        <w:separator/>
      </w:r>
    </w:p>
  </w:footnote>
  <w:footnote w:type="continuationSeparator" w:id="0">
    <w:p w:rsidR="00236818" w:rsidRDefault="00236818" w:rsidP="002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18" w:rsidRPr="00236818" w:rsidRDefault="00236818" w:rsidP="00236818">
    <w:pPr>
      <w:jc w:val="center"/>
      <w:rPr>
        <w:b/>
      </w:rPr>
    </w:pPr>
    <w:r>
      <w:t xml:space="preserve">           </w:t>
    </w:r>
    <w:r w:rsidRPr="00236818">
      <w:rPr>
        <w:b/>
      </w:rPr>
      <w:t xml:space="preserve">KEY POINTS FOR PARENTS/CARERS </w:t>
    </w:r>
    <w:r w:rsidR="00AE761B">
      <w:rPr>
        <w:b/>
      </w:rPr>
      <w:t xml:space="preserve">&amp; YOUR CHILDREN - </w:t>
    </w:r>
    <w:proofErr w:type="spellStart"/>
    <w:r w:rsidR="00AE761B">
      <w:rPr>
        <w:b/>
      </w:rPr>
      <w:t>O</w:t>
    </w:r>
    <w:r w:rsidRPr="00236818">
      <w:rPr>
        <w:b/>
      </w:rPr>
      <w:t>fSTED</w:t>
    </w:r>
    <w:proofErr w:type="spellEnd"/>
    <w:r w:rsidRPr="00236818">
      <w:rPr>
        <w:b/>
      </w:rPr>
      <w:t xml:space="preserve"> MAY 2014</w:t>
    </w:r>
  </w:p>
  <w:p w:rsidR="00236818" w:rsidRDefault="00236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6F2"/>
    <w:multiLevelType w:val="hybridMultilevel"/>
    <w:tmpl w:val="5830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73C2"/>
    <w:multiLevelType w:val="hybridMultilevel"/>
    <w:tmpl w:val="706A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41BB"/>
    <w:multiLevelType w:val="hybridMultilevel"/>
    <w:tmpl w:val="82EE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818"/>
    <w:rsid w:val="00163C5B"/>
    <w:rsid w:val="00163F87"/>
    <w:rsid w:val="00236818"/>
    <w:rsid w:val="002839FF"/>
    <w:rsid w:val="002D73A7"/>
    <w:rsid w:val="00451A85"/>
    <w:rsid w:val="004951EE"/>
    <w:rsid w:val="007174CB"/>
    <w:rsid w:val="00817647"/>
    <w:rsid w:val="00A46EE7"/>
    <w:rsid w:val="00AD1A71"/>
    <w:rsid w:val="00AE761B"/>
    <w:rsid w:val="00B5487E"/>
    <w:rsid w:val="00BF127E"/>
    <w:rsid w:val="00C137F1"/>
    <w:rsid w:val="00C36C93"/>
    <w:rsid w:val="00C85046"/>
    <w:rsid w:val="00D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18"/>
  </w:style>
  <w:style w:type="paragraph" w:styleId="Footer">
    <w:name w:val="footer"/>
    <w:basedOn w:val="Normal"/>
    <w:link w:val="FooterChar"/>
    <w:uiPriority w:val="99"/>
    <w:unhideWhenUsed/>
    <w:rsid w:val="0023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18"/>
  </w:style>
  <w:style w:type="paragraph" w:styleId="BalloonText">
    <w:name w:val="Balloon Text"/>
    <w:basedOn w:val="Normal"/>
    <w:link w:val="BalloonTextChar"/>
    <w:uiPriority w:val="99"/>
    <w:semiHidden/>
    <w:unhideWhenUsed/>
    <w:rsid w:val="002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sct8752720</cp:lastModifiedBy>
  <cp:revision>5</cp:revision>
  <cp:lastPrinted>2014-06-02T11:46:00Z</cp:lastPrinted>
  <dcterms:created xsi:type="dcterms:W3CDTF">2014-05-23T11:38:00Z</dcterms:created>
  <dcterms:modified xsi:type="dcterms:W3CDTF">2014-06-02T11:46:00Z</dcterms:modified>
</cp:coreProperties>
</file>